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2193" w14:textId="77C0BF5A" w:rsidR="00BD0165" w:rsidRDefault="003106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83327" wp14:editId="6314E2D1">
                <wp:simplePos x="0" y="0"/>
                <wp:positionH relativeFrom="column">
                  <wp:posOffset>3185160</wp:posOffset>
                </wp:positionH>
                <wp:positionV relativeFrom="paragraph">
                  <wp:posOffset>45720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FF44A7" w14:textId="7CEBB924" w:rsidR="00310681" w:rsidRPr="00310681" w:rsidRDefault="00310681" w:rsidP="00310681">
                            <w:pPr>
                              <w:jc w:val="center"/>
                              <w:rPr>
                                <w:color w:val="C0000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681">
                              <w:rPr>
                                <w:color w:val="C0000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5833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0.8pt;margin-top:3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GbuE87cAAAACQEAAA8AAAAAAAAAAAAAAAAAdwQAAGRycy9kb3ducmV2LnhtbFBL&#10;BQYAAAAABAAEAPMAAACABQAAAAA=&#10;" filled="f" stroked="f">
                <v:textbox style="mso-fit-shape-to-text:t">
                  <w:txbxContent>
                    <w:p w14:paraId="60FF44A7" w14:textId="7CEBB924" w:rsidR="00310681" w:rsidRPr="00310681" w:rsidRDefault="00310681" w:rsidP="00310681">
                      <w:pPr>
                        <w:jc w:val="center"/>
                        <w:rPr>
                          <w:color w:val="C0000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0681">
                        <w:rPr>
                          <w:color w:val="C0000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FY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CC93CDE" w14:textId="0BCB349D" w:rsidR="00310681" w:rsidRDefault="00310681"/>
    <w:p w14:paraId="760A67C4" w14:textId="459A3455" w:rsidR="00310681" w:rsidRDefault="00310681"/>
    <w:p w14:paraId="74F9B5C1" w14:textId="6E636FB1" w:rsidR="00310681" w:rsidRDefault="00310681"/>
    <w:p w14:paraId="6F84B42C" w14:textId="4CC78739" w:rsidR="00310681" w:rsidRDefault="00310681"/>
    <w:tbl>
      <w:tblPr>
        <w:tblW w:w="14156" w:type="dxa"/>
        <w:tblLook w:val="04A0" w:firstRow="1" w:lastRow="0" w:firstColumn="1" w:lastColumn="0" w:noHBand="0" w:noVBand="1"/>
      </w:tblPr>
      <w:tblGrid>
        <w:gridCol w:w="2573"/>
        <w:gridCol w:w="5527"/>
        <w:gridCol w:w="1440"/>
        <w:gridCol w:w="1893"/>
        <w:gridCol w:w="1406"/>
        <w:gridCol w:w="1317"/>
      </w:tblGrid>
      <w:tr w:rsidR="00310681" w:rsidRPr="00310681" w14:paraId="02E7D962" w14:textId="77777777" w:rsidTr="00BF367C">
        <w:trPr>
          <w:trHeight w:val="504"/>
        </w:trPr>
        <w:tc>
          <w:tcPr>
            <w:tcW w:w="14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92AC" w14:textId="3DF6A8E9" w:rsidR="00310681" w:rsidRPr="00310681" w:rsidRDefault="00310681" w:rsidP="00310681">
            <w:pPr>
              <w:ind w:left="0"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0"/>
            </w:tblGrid>
            <w:tr w:rsidR="00310681" w:rsidRPr="00310681" w14:paraId="67874B44" w14:textId="77777777">
              <w:trPr>
                <w:trHeight w:val="504"/>
                <w:tblCellSpacing w:w="0" w:type="dxa"/>
              </w:trPr>
              <w:tc>
                <w:tcPr>
                  <w:tcW w:w="1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59378" w14:textId="77777777" w:rsidR="00310681" w:rsidRPr="00310681" w:rsidRDefault="00310681" w:rsidP="00310681">
                  <w:pPr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3106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4"/>
                      <w:szCs w:val="44"/>
                    </w:rPr>
                    <w:t>WORK-BASED LEARNING PROGRAM INFORMATION SHEET</w:t>
                  </w:r>
                </w:p>
              </w:tc>
            </w:tr>
          </w:tbl>
          <w:p w14:paraId="4C5F6664" w14:textId="77777777" w:rsidR="00310681" w:rsidRPr="00310681" w:rsidRDefault="00310681" w:rsidP="00310681">
            <w:pPr>
              <w:ind w:left="0" w:right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0681" w:rsidRPr="00310681" w14:paraId="5CD3E162" w14:textId="77777777" w:rsidTr="00BF367C">
        <w:trPr>
          <w:trHeight w:val="639"/>
        </w:trPr>
        <w:tc>
          <w:tcPr>
            <w:tcW w:w="14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29EB" w14:textId="77777777" w:rsidR="00310681" w:rsidRPr="00310681" w:rsidRDefault="00310681" w:rsidP="0031068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31068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Construction Applications Due: March 1, 2022</w:t>
            </w:r>
          </w:p>
        </w:tc>
      </w:tr>
      <w:tr w:rsidR="00310681" w:rsidRPr="00310681" w14:paraId="384C35F7" w14:textId="77777777" w:rsidTr="00BF367C">
        <w:trPr>
          <w:trHeight w:val="540"/>
        </w:trPr>
        <w:tc>
          <w:tcPr>
            <w:tcW w:w="14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423F" w14:textId="77777777" w:rsidR="00310681" w:rsidRPr="00310681" w:rsidRDefault="00310681" w:rsidP="0031068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31068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Health Occupations Applications Due: February 1, 2022</w:t>
            </w:r>
          </w:p>
        </w:tc>
      </w:tr>
      <w:tr w:rsidR="00310681" w:rsidRPr="00310681" w14:paraId="655724CF" w14:textId="77777777" w:rsidTr="00BF367C">
        <w:trPr>
          <w:trHeight w:val="492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1EB8" w14:textId="77777777" w:rsidR="00310681" w:rsidRPr="00310681" w:rsidRDefault="00310681" w:rsidP="0031068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5873" w14:textId="77777777" w:rsidR="00310681" w:rsidRPr="00310681" w:rsidRDefault="00310681" w:rsidP="00310681">
            <w:pPr>
              <w:ind w:left="0" w:right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2B49" w14:textId="77777777" w:rsidR="00310681" w:rsidRPr="00310681" w:rsidRDefault="00310681" w:rsidP="00310681">
            <w:pPr>
              <w:ind w:left="0" w:right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84DC" w14:textId="77777777" w:rsidR="00310681" w:rsidRPr="00310681" w:rsidRDefault="00310681" w:rsidP="00310681">
            <w:pPr>
              <w:ind w:left="0" w:right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B0A2" w14:textId="77777777" w:rsidR="00310681" w:rsidRPr="00310681" w:rsidRDefault="00310681" w:rsidP="00310681">
            <w:pPr>
              <w:ind w:left="0" w:right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FFFB" w14:textId="77777777" w:rsidR="00310681" w:rsidRPr="00310681" w:rsidRDefault="00310681" w:rsidP="00310681">
            <w:pPr>
              <w:ind w:left="0" w:right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F367C" w:rsidRPr="00310681" w14:paraId="2B37B896" w14:textId="77777777" w:rsidTr="00BF367C">
        <w:trPr>
          <w:trHeight w:val="732"/>
        </w:trPr>
        <w:tc>
          <w:tcPr>
            <w:tcW w:w="2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2C173A" w14:textId="77777777" w:rsidR="00310681" w:rsidRPr="00310681" w:rsidRDefault="00310681" w:rsidP="0031068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10681">
              <w:rPr>
                <w:rFonts w:ascii="Arial" w:eastAsia="Times New Roman" w:hAnsi="Arial" w:cs="Arial"/>
                <w:b/>
                <w:bCs/>
                <w:color w:val="000000"/>
              </w:rPr>
              <w:t>Program</w:t>
            </w: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83F9D7" w14:textId="77777777" w:rsidR="00310681" w:rsidRPr="00310681" w:rsidRDefault="00310681" w:rsidP="0031068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10681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148AEA" w14:textId="77777777" w:rsidR="00310681" w:rsidRPr="00310681" w:rsidRDefault="00310681" w:rsidP="0031068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10681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221CBB" w14:textId="77777777" w:rsidR="00310681" w:rsidRPr="00310681" w:rsidRDefault="00310681" w:rsidP="0031068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10681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B5172A" w14:textId="77777777" w:rsidR="00310681" w:rsidRPr="00310681" w:rsidRDefault="00310681" w:rsidP="0031068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10681">
              <w:rPr>
                <w:rFonts w:ascii="Arial" w:eastAsia="Times New Roman" w:hAnsi="Arial" w:cs="Arial"/>
                <w:b/>
                <w:bCs/>
                <w:color w:val="000000"/>
              </w:rPr>
              <w:t>Length of Program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466904" w14:textId="77777777" w:rsidR="00310681" w:rsidRPr="00310681" w:rsidRDefault="00310681" w:rsidP="0031068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10681">
              <w:rPr>
                <w:rFonts w:ascii="Arial" w:eastAsia="Times New Roman" w:hAnsi="Arial" w:cs="Arial"/>
                <w:b/>
                <w:bCs/>
                <w:color w:val="000000"/>
              </w:rPr>
              <w:t>Credit Earned</w:t>
            </w:r>
          </w:p>
        </w:tc>
      </w:tr>
      <w:tr w:rsidR="00BF367C" w:rsidRPr="00310681" w14:paraId="1562F26B" w14:textId="77777777" w:rsidTr="00BF367C">
        <w:trPr>
          <w:trHeight w:val="2844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2F2E" w14:textId="77777777" w:rsidR="00310681" w:rsidRPr="00310681" w:rsidRDefault="00310681" w:rsidP="00310681">
            <w:pPr>
              <w:ind w:left="0" w:right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06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Construction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C5A4" w14:textId="77777777" w:rsidR="00310681" w:rsidRPr="00310681" w:rsidRDefault="00310681" w:rsidP="00310681">
            <w:pPr>
              <w:ind w:left="0" w:right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06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competency-based Construction program exposes students to a variety of high-skill, high-wage construction industry careers. Students participate in specialized hands-on training, classroom instruction and internships at various locations, including apprenticeship schools and local construction job sites. Instruction includes a focus on safety and the skills necessary to succeed in various construction careers, from skilled trades to project management.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85F6" w14:textId="18E52754" w:rsidR="00BF367C" w:rsidRDefault="00310681" w:rsidP="00310681">
            <w:pPr>
              <w:ind w:left="0" w:right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06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7:30 a.m. - 9:30 a.m.</w:t>
            </w:r>
            <w:r w:rsidRPr="003106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</w:r>
            <w:r w:rsidRPr="003106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 xml:space="preserve">      or</w:t>
            </w:r>
            <w:r w:rsidRPr="003106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</w:r>
            <w:r w:rsidRPr="003106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12:30 p.m.</w:t>
            </w:r>
            <w:r w:rsidR="00BF36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</w:t>
            </w:r>
          </w:p>
          <w:p w14:paraId="3489D475" w14:textId="6267C2B8" w:rsidR="00310681" w:rsidRPr="00310681" w:rsidRDefault="00BF367C" w:rsidP="00310681">
            <w:pPr>
              <w:ind w:left="0" w:right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  <w:r w:rsidR="00310681" w:rsidRPr="003106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2:30 p.m.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68F8" w14:textId="77777777" w:rsidR="00310681" w:rsidRPr="00310681" w:rsidRDefault="00310681" w:rsidP="00310681">
            <w:pPr>
              <w:ind w:left="0" w:right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06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Various apprenticeship schools and local union businesses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AB1E" w14:textId="77777777" w:rsidR="00310681" w:rsidRPr="00310681" w:rsidRDefault="00310681" w:rsidP="00310681">
            <w:pPr>
              <w:ind w:left="0" w:right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06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 to 1 year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45A24" w14:textId="77777777" w:rsidR="00310681" w:rsidRPr="00310681" w:rsidRDefault="00310681" w:rsidP="00310681">
            <w:pPr>
              <w:ind w:left="0" w:right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06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367C" w:rsidRPr="00310681" w14:paraId="191FF826" w14:textId="77777777" w:rsidTr="00BF367C">
        <w:trPr>
          <w:trHeight w:val="2568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B676" w14:textId="77777777" w:rsidR="00310681" w:rsidRPr="00310681" w:rsidRDefault="00310681" w:rsidP="00310681">
            <w:pPr>
              <w:ind w:left="0" w:right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06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Health Occupations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7A33" w14:textId="5D7DEAE7" w:rsidR="00310681" w:rsidRPr="00310681" w:rsidRDefault="00310681" w:rsidP="00310681">
            <w:pPr>
              <w:ind w:left="0" w:right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06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Participants in the Health Occupations program will gain a basic understanding of a wide variety of careers within healthcare and gain knowledge and nursing assistant skills, through classroom instruction, lab activities, and clinical</w:t>
            </w:r>
            <w:r w:rsidR="00BF36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106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experiences.  Upon successful completion, students will be eligible to sit for the State of Illinois Nursing Assistant exam and work as a CNA in any health care setting.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CC3E" w14:textId="77777777" w:rsidR="00310681" w:rsidRPr="00310681" w:rsidRDefault="00310681" w:rsidP="00310681">
            <w:pPr>
              <w:ind w:left="0" w:right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06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7:00 a.m. - 10:00 a.m.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5EF0" w14:textId="77777777" w:rsidR="00310681" w:rsidRPr="00310681" w:rsidRDefault="00310681" w:rsidP="00310681">
            <w:pPr>
              <w:ind w:left="0" w:right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06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Illinois Central College-North Campus, ICC-Pekin, or Eureka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CCB1" w14:textId="77777777" w:rsidR="00310681" w:rsidRPr="00310681" w:rsidRDefault="00310681" w:rsidP="00310681">
            <w:pPr>
              <w:ind w:left="0" w:right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06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semester (Fall or Spring)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8249" w14:textId="77777777" w:rsidR="00310681" w:rsidRPr="00310681" w:rsidRDefault="00310681" w:rsidP="00310681">
            <w:pPr>
              <w:ind w:left="0" w:right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06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7.5 credit hours</w:t>
            </w:r>
          </w:p>
        </w:tc>
      </w:tr>
    </w:tbl>
    <w:p w14:paraId="2E0E2CCE" w14:textId="77777777" w:rsidR="00310681" w:rsidRDefault="00310681"/>
    <w:sectPr w:rsidR="00310681" w:rsidSect="003106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81"/>
    <w:rsid w:val="00310681"/>
    <w:rsid w:val="0064576B"/>
    <w:rsid w:val="007533B7"/>
    <w:rsid w:val="00BD0165"/>
    <w:rsid w:val="00BF367C"/>
    <w:rsid w:val="00D0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D8F4"/>
  <w15:chartTrackingRefBased/>
  <w15:docId w15:val="{000D542F-F6AC-474B-A32C-D7A332BF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533B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Zarvell</dc:creator>
  <cp:keywords/>
  <dc:description/>
  <cp:lastModifiedBy>Mary Sanders</cp:lastModifiedBy>
  <cp:revision>2</cp:revision>
  <dcterms:created xsi:type="dcterms:W3CDTF">2021-09-23T19:18:00Z</dcterms:created>
  <dcterms:modified xsi:type="dcterms:W3CDTF">2021-09-23T19:18:00Z</dcterms:modified>
</cp:coreProperties>
</file>